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障害報告書</w:t>
      </w:r>
    </w:p>
    <w:p>
      <w:r>
        <w:t>社内報告用の記入例です。(例: )を実際の事実に置き換え、未確認事項は未確認のまま記録してください。</w:t>
      </w:r>
    </w:p>
    <w:p>
      <w:pPr>
        <w:pStyle w:val="Heading1"/>
        <w:spacing w:before="160" w:after="60"/>
      </w:pPr>
      <w:r>
        <w:rPr>
          <w:color w:val="000000"/>
          <w:sz w:val="22"/>
        </w:rPr>
        <w:t>対象と報告時点</w:t>
      </w:r>
    </w:p>
    <w:p>
      <w:r>
        <w:t>(例: 顧客管理システムのログイン／復旧済み)</w:t>
        <w:br/>
        <w:t>報告時点 (例: 2026年9月25日 12:00 日本時間)</w:t>
        <w:br/>
        <w:t>報告者 (例: 運用担当)</w:t>
      </w:r>
    </w:p>
    <w:p>
      <w:pPr>
        <w:pStyle w:val="Heading1"/>
        <w:spacing w:before="160" w:after="60"/>
      </w:pPr>
      <w:r>
        <w:rPr>
          <w:color w:val="000000"/>
          <w:sz w:val="22"/>
        </w:rPr>
        <w:t>業務影響</w:t>
      </w:r>
    </w:p>
    <w:p>
      <w:r>
        <w:t>(例: 営業部で顧客情報を参照できない。影響人数は調査中。)</w:t>
      </w:r>
    </w:p>
    <w:p>
      <w:pPr>
        <w:pStyle w:val="Heading1"/>
        <w:spacing w:before="160" w:after="60"/>
      </w:pPr>
      <w:r>
        <w:rPr>
          <w:color w:val="000000"/>
          <w:sz w:val="22"/>
        </w:rPr>
        <w:t>発生からの経緯</w:t>
      </w:r>
    </w:p>
    <w:p>
      <w:r>
        <w:t>発生 (例: 9月25日 10:00)　検知 (例: 同日 10:05)</w:t>
        <w:br/>
        <w:t>復旧 (例: 同日 11:00)　復旧までの経過 (例: 60分)</w:t>
        <w:br/>
        <w:t>時系列の補足 (例: 10:15 予備環境への切り替え開始)</w:t>
      </w:r>
    </w:p>
    <w:p>
      <w:pPr>
        <w:pStyle w:val="Heading1"/>
        <w:spacing w:before="160" w:after="60"/>
      </w:pPr>
      <w:r>
        <w:rPr>
          <w:color w:val="000000"/>
          <w:sz w:val="22"/>
        </w:rPr>
        <w:t>原因の確認状況</w:t>
      </w:r>
    </w:p>
    <w:p>
      <w:r>
        <w:t>確認済み／仮説／未確認から選択してください。</w:t>
        <w:br/>
        <w:t>(例: 未確認。ログの調査を継続中。)</w:t>
      </w:r>
    </w:p>
    <w:p>
      <w:pPr>
        <w:pStyle w:val="Heading1"/>
        <w:spacing w:before="160" w:after="60"/>
      </w:pPr>
      <w:r>
        <w:rPr>
          <w:color w:val="000000"/>
          <w:sz w:val="22"/>
        </w:rPr>
        <w:t>暫定対応</w:t>
      </w:r>
    </w:p>
    <w:p>
      <w:r>
        <w:t>(例: 予備環境へ接続先を切り替え、ログイン動作を確認。)</w:t>
      </w:r>
    </w:p>
    <w:p>
      <w:pPr>
        <w:pStyle w:val="Heading1"/>
        <w:spacing w:before="160" w:after="60"/>
      </w:pPr>
      <w:r>
        <w:rPr>
          <w:color w:val="000000"/>
          <w:sz w:val="22"/>
        </w:rPr>
        <w:t>再発防止と次の確認</w:t>
      </w:r>
    </w:p>
    <w:p>
      <w:r>
        <w:t>対策・担当・期日 (例: 原因確認後に検討。運用担当が翌営業日に案を提示)</w:t>
        <w:br/>
        <w:t>未確認事項 (例: 影響件数を集計中)</w:t>
        <w:br/>
        <w:t>次回報告 (例: 運用担当から翌営業日の定例で報告)</w:t>
      </w:r>
    </w:p>
    <w:p>
      <w:r>
        <w:rPr>
          <w:sz w:val="16"/>
        </w:rPr>
        <w:t>日時の整合確認と時間計算: https://digital-sales-job.com/tools/incident-report-generator/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Hiragino Sans" w:hAnsi="Hiragino Sans" w:eastAsia="Hiragino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